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7CB7A3">
      <w:pPr>
        <w:keepNext w:val="0"/>
        <w:keepLines w:val="0"/>
        <w:pageBreakBefore w:val="0"/>
        <w:widowControl/>
        <w:kinsoku/>
        <w:wordWrap/>
        <w:overflowPunct/>
        <w:topLinePunct w:val="0"/>
        <w:autoSpaceDE/>
        <w:autoSpaceDN/>
        <w:bidi w:val="0"/>
        <w:adjustRightInd/>
        <w:snapToGrid/>
        <w:spacing w:before="0" w:after="0" w:line="7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 w:val="0"/>
          <w:sz w:val="44"/>
          <w:szCs w:val="44"/>
        </w:rPr>
        <w:t>《云南省小微型客车租赁经营服务指南</w:t>
      </w:r>
    </w:p>
    <w:p w14:paraId="0ED397BF">
      <w:pPr>
        <w:keepNext w:val="0"/>
        <w:keepLines w:val="0"/>
        <w:pageBreakBefore w:val="0"/>
        <w:widowControl/>
        <w:kinsoku/>
        <w:wordWrap/>
        <w:overflowPunct/>
        <w:topLinePunct w:val="0"/>
        <w:autoSpaceDE/>
        <w:autoSpaceDN/>
        <w:bidi w:val="0"/>
        <w:adjustRightInd/>
        <w:snapToGrid/>
        <w:spacing w:before="0" w:after="0" w:line="7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b w:val="0"/>
          <w:sz w:val="44"/>
          <w:szCs w:val="44"/>
        </w:rPr>
        <w:t>（征求意见稿）》起草说明</w:t>
      </w:r>
    </w:p>
    <w:p w14:paraId="41968E8F">
      <w:pPr>
        <w:keepNext w:val="0"/>
        <w:keepLines w:val="0"/>
        <w:pageBreakBefore w:val="0"/>
        <w:widowControl/>
        <w:kinsoku/>
        <w:wordWrap/>
        <w:overflowPunct/>
        <w:topLinePunct w:val="0"/>
        <w:autoSpaceDE/>
        <w:autoSpaceDN/>
        <w:bidi w:val="0"/>
        <w:adjustRightInd/>
        <w:snapToGrid/>
        <w:spacing w:before="0" w:after="0" w:line="300" w:lineRule="exact"/>
        <w:ind w:firstLine="641"/>
        <w:textAlignment w:val="auto"/>
      </w:pPr>
    </w:p>
    <w:p w14:paraId="42BE5F31">
      <w:pPr>
        <w:keepNext/>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b w:val="0"/>
          <w:sz w:val="32"/>
          <w:szCs w:val="32"/>
        </w:rPr>
        <w:t>一、起草背景和必要性</w:t>
      </w:r>
    </w:p>
    <w:p w14:paraId="2AC07833">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default" w:ascii="宋体" w:hAnsi="宋体" w:eastAsia="方正楷体_GBK" w:cs="宋体"/>
          <w:b w:val="0"/>
          <w:bCs w:val="0"/>
          <w:sz w:val="32"/>
          <w:szCs w:val="32"/>
          <w:lang w:val="en-US" w:eastAsia="zh-CN"/>
        </w:rPr>
      </w:pPr>
      <w:r>
        <w:rPr>
          <w:rFonts w:hint="eastAsia" w:ascii="宋体" w:hAnsi="宋体" w:eastAsia="方正楷体_GBK" w:cs="宋体"/>
          <w:b w:val="0"/>
          <w:bCs w:val="0"/>
          <w:sz w:val="32"/>
          <w:szCs w:val="32"/>
          <w:lang w:val="en-US" w:eastAsia="zh-CN"/>
        </w:rPr>
        <w:t>(一)起草背景</w:t>
      </w:r>
    </w:p>
    <w:p w14:paraId="6A0B6FD3">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宋体" w:hAnsi="宋体" w:eastAsia="方正仿宋_GBK" w:cs="宋体"/>
          <w:b w:val="0"/>
          <w:sz w:val="32"/>
          <w:szCs w:val="32"/>
        </w:rPr>
      </w:pPr>
      <w:r>
        <w:rPr>
          <w:rFonts w:hint="eastAsia" w:ascii="宋体" w:hAnsi="宋体" w:eastAsia="方正仿宋_GBK" w:cs="宋体"/>
          <w:b w:val="0"/>
          <w:sz w:val="32"/>
          <w:szCs w:val="32"/>
          <w:lang w:eastAsia="zh-CN"/>
        </w:rPr>
        <w:t>云南省</w:t>
      </w:r>
      <w:r>
        <w:rPr>
          <w:rFonts w:hint="eastAsia" w:ascii="宋体" w:hAnsi="宋体" w:eastAsia="方正仿宋_GBK" w:cs="宋体"/>
          <w:b w:val="0"/>
          <w:sz w:val="32"/>
          <w:szCs w:val="32"/>
        </w:rPr>
        <w:t>旅游资源富集、自驾出行需求旺盛，小微型客车租赁行业快速发展，网络化、平台化经营日益普遍，对规范经营服务提出了更高要求。小微型客车租赁以便捷、灵活的特点，成为满足人民群众高品质、个性化出行需求的重要方式，也是激发文旅消费潜力、深化交旅融合的有效抓手。近年来，</w:t>
      </w:r>
      <w:r>
        <w:rPr>
          <w:rFonts w:hint="eastAsia" w:ascii="宋体" w:hAnsi="宋体" w:eastAsia="方正仿宋_GBK" w:cs="宋体"/>
          <w:b w:val="0"/>
          <w:sz w:val="32"/>
          <w:szCs w:val="32"/>
          <w:lang w:eastAsia="zh-CN"/>
        </w:rPr>
        <w:t>云南省</w:t>
      </w:r>
      <w:r>
        <w:rPr>
          <w:rFonts w:hint="eastAsia" w:ascii="宋体" w:hAnsi="宋体" w:eastAsia="方正仿宋_GBK" w:cs="宋体"/>
          <w:b w:val="0"/>
          <w:sz w:val="32"/>
          <w:szCs w:val="32"/>
        </w:rPr>
        <w:t>小微型客车租赁市场不同程度存在备案不规范、车辆整备不到位、收费不透明、押金退还迟缓、低价引流、捆绑消费、消费纠纷多发等问题，侵害承租人合法权益，损害行业形象，亟需通过制定指南加以规范引导。</w:t>
      </w:r>
    </w:p>
    <w:p w14:paraId="2CC3D714">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default" w:ascii="宋体" w:hAnsi="宋体" w:eastAsia="方正楷体_GBK" w:cs="宋体"/>
          <w:b w:val="0"/>
          <w:sz w:val="32"/>
          <w:szCs w:val="32"/>
          <w:lang w:val="en-US" w:eastAsia="zh-CN"/>
        </w:rPr>
      </w:pPr>
      <w:r>
        <w:rPr>
          <w:rFonts w:hint="eastAsia" w:ascii="宋体" w:hAnsi="宋体" w:eastAsia="方正楷体_GBK" w:cs="宋体"/>
          <w:b w:val="0"/>
          <w:bCs w:val="0"/>
          <w:sz w:val="32"/>
          <w:szCs w:val="32"/>
          <w:lang w:val="en-US" w:eastAsia="zh-CN"/>
        </w:rPr>
        <w:t>(二)必要性</w:t>
      </w:r>
    </w:p>
    <w:p w14:paraId="0D0B7EFF">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宋体" w:hAnsi="宋体" w:eastAsia="方正仿宋_GBK" w:cs="宋体"/>
          <w:b w:val="0"/>
          <w:sz w:val="32"/>
          <w:szCs w:val="32"/>
          <w:lang w:eastAsia="zh-CN"/>
        </w:rPr>
      </w:pPr>
      <w:r>
        <w:rPr>
          <w:rFonts w:hint="eastAsia" w:ascii="宋体" w:hAnsi="宋体" w:eastAsia="方正仿宋_GBK" w:cs="宋体"/>
          <w:b w:val="0"/>
          <w:sz w:val="32"/>
          <w:szCs w:val="32"/>
        </w:rPr>
        <w:t>中共中央办公厅、国务院办公厅印发《提振消费专项行动方案》，对提振消费、扩大内需作出系统部署；交通运输部《小微型客车租赁经营服务管理办法》对租赁经营活动作了原则性规定，交通运输部等十部门《促进小微型客车租赁高质量发展三年行动方案（2026—2028年）》对完善租赁服务网络、规范行业秩序提出了明确要求，并将发展自驾游服务、推动小微型客车租赁高质量发展作为培育交通运输服务消费新增长点的重要内容。</w:t>
      </w:r>
      <w:r>
        <w:rPr>
          <w:rFonts w:hint="eastAsia" w:ascii="宋体" w:hAnsi="宋体" w:eastAsia="方正仿宋_GBK" w:cs="宋体"/>
          <w:b w:val="0"/>
          <w:sz w:val="32"/>
          <w:szCs w:val="32"/>
          <w:lang w:val="en-US" w:eastAsia="zh-CN"/>
        </w:rPr>
        <w:t>结合云南省实际</w:t>
      </w:r>
      <w:r>
        <w:rPr>
          <w:rFonts w:hint="eastAsia" w:ascii="宋体" w:hAnsi="宋体" w:eastAsia="方正仿宋_GBK" w:cs="宋体"/>
          <w:b w:val="0"/>
          <w:sz w:val="32"/>
          <w:szCs w:val="32"/>
        </w:rPr>
        <w:t>制定本指南，是贯彻落实党中央、国务院提振消费决策部署的具体举措，有利于促进小微型客车租赁高质量发展，着力完善租赁服务网络，提高服务能力和品质，加快构建规范有序、安全便捷、绿色智慧、富有活力的小微型客车租赁市场体系，更好满足人民群众多样化出行需求，为扩大内需、促进消费提供新场景、新动能</w:t>
      </w:r>
      <w:r>
        <w:rPr>
          <w:rFonts w:hint="eastAsia" w:ascii="宋体" w:hAnsi="宋体" w:eastAsia="方正仿宋_GBK" w:cs="宋体"/>
          <w:b w:val="0"/>
          <w:sz w:val="32"/>
          <w:szCs w:val="32"/>
          <w:lang w:eastAsia="zh-CN"/>
        </w:rPr>
        <w:t>。</w:t>
      </w:r>
    </w:p>
    <w:p w14:paraId="1BC52662">
      <w:pPr>
        <w:keepNext/>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方正黑体_GBK" w:hAnsi="方正黑体_GBK" w:eastAsia="方正黑体_GBK" w:cs="方正黑体_GBK"/>
          <w:b w:val="0"/>
          <w:sz w:val="32"/>
          <w:szCs w:val="32"/>
        </w:rPr>
      </w:pPr>
      <w:bookmarkStart w:id="0" w:name="_GoBack"/>
      <w:bookmarkEnd w:id="0"/>
      <w:r>
        <w:rPr>
          <w:rFonts w:hint="eastAsia" w:ascii="方正黑体_GBK" w:hAnsi="方正黑体_GBK" w:eastAsia="方正黑体_GBK" w:cs="方正黑体_GBK"/>
          <w:b w:val="0"/>
          <w:sz w:val="32"/>
          <w:szCs w:val="32"/>
        </w:rPr>
        <w:t>二、起草依据</w:t>
      </w:r>
    </w:p>
    <w:p w14:paraId="2C6D70EC">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宋体" w:hAnsi="宋体" w:eastAsia="方正仿宋_GBK" w:cs="宋体"/>
          <w:sz w:val="32"/>
          <w:szCs w:val="32"/>
        </w:rPr>
      </w:pPr>
      <w:r>
        <w:rPr>
          <w:rFonts w:hint="eastAsia" w:ascii="宋体" w:hAnsi="宋体" w:eastAsia="方正仿宋_GBK" w:cs="宋体"/>
          <w:b w:val="0"/>
          <w:sz w:val="32"/>
          <w:szCs w:val="32"/>
        </w:rPr>
        <w:t>主要依据《小微型客车租赁经营服务管理办法》（交通运输部令2020年第22号，根据交通运输部令2021年第17号修正）、《汽车租赁服务规范》（GB/T 29911—2025）、《云南省道路运输条例》《中华人民共和国个人信息保护法》《中华人民共和国网络安全法》《中华人民共和国数据安全法》《中华人民共和国电子商务法》《人脸识别技术应用安全管理办法》等法律法规和标准，并衔接《云南省小微型客车租赁经营服务管理工作指南》（云交运输〔2025〕6号）、《促进小微型客车租赁高质量发展三年行动方案（2026—2028年）》等文件要求。</w:t>
      </w:r>
    </w:p>
    <w:p w14:paraId="0B5A8470">
      <w:pPr>
        <w:keepNext/>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三、起草过程</w:t>
      </w:r>
    </w:p>
    <w:p w14:paraId="33B08EBA">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宋体" w:hAnsi="宋体" w:eastAsia="方正仿宋_GBK" w:cs="宋体"/>
          <w:sz w:val="32"/>
          <w:szCs w:val="32"/>
        </w:rPr>
      </w:pPr>
      <w:r>
        <w:rPr>
          <w:rFonts w:hint="eastAsia" w:ascii="宋体" w:hAnsi="宋体" w:eastAsia="方正仿宋_GBK" w:cs="宋体"/>
          <w:b w:val="0"/>
          <w:sz w:val="32"/>
          <w:szCs w:val="32"/>
        </w:rPr>
        <w:t>省交通运输厅在深入调研</w:t>
      </w:r>
      <w:r>
        <w:rPr>
          <w:rFonts w:hint="eastAsia" w:ascii="宋体" w:hAnsi="宋体" w:eastAsia="方正仿宋_GBK" w:cs="宋体"/>
          <w:b w:val="0"/>
          <w:sz w:val="32"/>
          <w:szCs w:val="32"/>
          <w:lang w:eastAsia="zh-CN"/>
        </w:rPr>
        <w:t>云南省</w:t>
      </w:r>
      <w:r>
        <w:rPr>
          <w:rFonts w:hint="eastAsia" w:ascii="宋体" w:hAnsi="宋体" w:eastAsia="方正仿宋_GBK" w:cs="宋体"/>
          <w:b w:val="0"/>
          <w:sz w:val="32"/>
          <w:szCs w:val="32"/>
        </w:rPr>
        <w:t>小微型客车租赁行业发展现状、系统梳理市场突出问题、研究借鉴省内外经验做法的基础上，起草了指南初稿；书面征求各州（市）交通运输局及有关单位意见并修改完善，形成《云南省小微型客车租赁经营服务指南（征求意见稿）》（以下简称《指南》），现向社会公开征求意见。</w:t>
      </w:r>
    </w:p>
    <w:p w14:paraId="2B480506">
      <w:pPr>
        <w:keepNext/>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rPr>
        <w:t>四、主要内容</w:t>
      </w:r>
    </w:p>
    <w:p w14:paraId="5B3A38E1">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rPr>
      </w:pPr>
      <w:r>
        <w:rPr>
          <w:rFonts w:hint="eastAsia" w:ascii="宋体" w:hAnsi="宋体" w:eastAsia="方正仿宋_GBK" w:cs="宋体"/>
          <w:b w:val="0"/>
          <w:sz w:val="32"/>
          <w:szCs w:val="32"/>
        </w:rPr>
        <w:t>《指南》共八章五十七条。第一章总则，明确制定目的、适用范围、总体要求、备案管理和租赁经营边界；第二章经营场所与服务设施，规范营业门店、信息公示、线上经营和信息化管理；第三章租赁车辆，明确车辆技术条件、保险、整备和档案管理；第四章服务人员，规范人员配备、培训和服务要求；第五章服务流程与规范，对接待、身份核验、合同、收费与押金、交接、救援、结算等全流程作出规范；第六章汽车租赁网络平台，明确平台核验责任和经营管理要求；第七章经营服务监督，明确部门监管、信用管理和联合监管措施；第八章附则，明确解释权和施行时间。</w:t>
      </w:r>
    </w:p>
    <w:p w14:paraId="3547BD22">
      <w:pPr>
        <w:keepNext/>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方正黑体_GBK" w:hAnsi="方正黑体_GBK" w:eastAsia="方正黑体_GBK" w:cs="方正黑体_GBK"/>
          <w:b w:val="0"/>
          <w:sz w:val="32"/>
          <w:szCs w:val="32"/>
        </w:rPr>
      </w:pPr>
      <w:r>
        <w:rPr>
          <w:rFonts w:hint="eastAsia" w:ascii="方正黑体_GBK" w:hAnsi="方正黑体_GBK" w:eastAsia="方正黑体_GBK" w:cs="方正黑体_GBK"/>
          <w:b w:val="0"/>
          <w:sz w:val="32"/>
          <w:szCs w:val="32"/>
          <w:lang w:val="en-US" w:eastAsia="zh-CN"/>
        </w:rPr>
        <w:t>五</w:t>
      </w:r>
      <w:r>
        <w:rPr>
          <w:rFonts w:hint="eastAsia" w:ascii="方正黑体_GBK" w:hAnsi="方正黑体_GBK" w:eastAsia="方正黑体_GBK" w:cs="方正黑体_GBK"/>
          <w:b w:val="0"/>
          <w:sz w:val="32"/>
          <w:szCs w:val="32"/>
        </w:rPr>
        <w:t>、其他需要说明的事项</w:t>
      </w:r>
    </w:p>
    <w:p w14:paraId="59A1AE82">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宋体" w:hAnsi="宋体" w:eastAsia="方正仿宋_GBK" w:cs="宋体"/>
          <w:sz w:val="32"/>
          <w:szCs w:val="32"/>
        </w:rPr>
      </w:pPr>
      <w:r>
        <w:rPr>
          <w:rFonts w:hint="eastAsia" w:ascii="宋体" w:hAnsi="宋体" w:eastAsia="方正仿宋_GBK" w:cs="宋体"/>
          <w:b w:val="0"/>
          <w:sz w:val="32"/>
          <w:szCs w:val="32"/>
        </w:rPr>
        <w:t>《指南》定位为行业服务指导性文件，不替代上位法规规章；其中倡导性、鼓励性要求，经营者可结合实际自主实施。</w:t>
      </w:r>
      <w:r>
        <w:rPr>
          <w:rFonts w:hint="eastAsia" w:ascii="宋体" w:hAnsi="宋体" w:eastAsia="方正仿宋_GBK" w:cs="宋体"/>
          <w:b w:val="0"/>
          <w:sz w:val="32"/>
          <w:szCs w:val="32"/>
          <w:lang w:eastAsia="zh-CN"/>
        </w:rPr>
        <w:t>《</w:t>
      </w:r>
      <w:r>
        <w:rPr>
          <w:rFonts w:hint="eastAsia" w:ascii="宋体" w:hAnsi="宋体" w:eastAsia="方正仿宋_GBK" w:cs="宋体"/>
          <w:b w:val="0"/>
          <w:sz w:val="32"/>
          <w:szCs w:val="32"/>
        </w:rPr>
        <w:t>指南</w:t>
      </w:r>
      <w:r>
        <w:rPr>
          <w:rFonts w:hint="eastAsia" w:ascii="宋体" w:hAnsi="宋体" w:eastAsia="方正仿宋_GBK" w:cs="宋体"/>
          <w:b w:val="0"/>
          <w:sz w:val="32"/>
          <w:szCs w:val="32"/>
          <w:lang w:eastAsia="zh-CN"/>
        </w:rPr>
        <w:t>》</w:t>
      </w:r>
      <w:r>
        <w:rPr>
          <w:rFonts w:hint="eastAsia" w:ascii="宋体" w:hAnsi="宋体" w:eastAsia="方正仿宋_GBK" w:cs="宋体"/>
          <w:b w:val="0"/>
          <w:sz w:val="32"/>
          <w:szCs w:val="32"/>
        </w:rPr>
        <w:t>拟自2027年1月1日起施行，为存量经营主体达标和行业适应留出必要过渡期。</w:t>
      </w:r>
    </w:p>
    <w:p w14:paraId="05237E26">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宋体" w:hAnsi="宋体" w:eastAsia="方正仿宋_GBK" w:cs="宋体"/>
          <w:sz w:val="32"/>
          <w:szCs w:val="32"/>
        </w:rPr>
      </w:pPr>
    </w:p>
    <w:p w14:paraId="4DF92DC4">
      <w:pPr>
        <w:keepLines w:val="0"/>
        <w:pageBreakBefore w:val="0"/>
        <w:widowControl/>
        <w:kinsoku/>
        <w:wordWrap/>
        <w:overflowPunct/>
        <w:topLinePunct w:val="0"/>
        <w:autoSpaceDE/>
        <w:autoSpaceDN/>
        <w:bidi w:val="0"/>
        <w:adjustRightInd/>
        <w:snapToGrid/>
        <w:spacing w:before="0" w:after="0" w:line="580" w:lineRule="exact"/>
        <w:ind w:firstLine="640" w:firstLineChars="200"/>
        <w:jc w:val="both"/>
        <w:textAlignment w:val="auto"/>
        <w:rPr>
          <w:rFonts w:hint="eastAsia" w:ascii="宋体" w:hAnsi="宋体" w:eastAsia="方正仿宋_GBK" w:cs="宋体"/>
          <w:sz w:val="32"/>
          <w:szCs w:val="32"/>
        </w:rPr>
      </w:pPr>
    </w:p>
    <w:p w14:paraId="26B27814">
      <w:pPr>
        <w:keepLines w:val="0"/>
        <w:pageBreakBefore w:val="0"/>
        <w:widowControl/>
        <w:kinsoku/>
        <w:wordWrap w:val="0"/>
        <w:overflowPunct/>
        <w:topLinePunct w:val="0"/>
        <w:autoSpaceDE/>
        <w:autoSpaceDN/>
        <w:bidi w:val="0"/>
        <w:adjustRightInd/>
        <w:snapToGrid/>
        <w:spacing w:before="0" w:after="0" w:line="580" w:lineRule="exact"/>
        <w:ind w:firstLine="640" w:firstLineChars="200"/>
        <w:jc w:val="right"/>
        <w:textAlignment w:val="auto"/>
        <w:rPr>
          <w:rFonts w:hint="default" w:ascii="宋体" w:hAnsi="宋体" w:eastAsia="方正仿宋_GBK" w:cs="宋体"/>
          <w:b w:val="0"/>
          <w:sz w:val="32"/>
          <w:szCs w:val="32"/>
          <w:lang w:val="en-US" w:eastAsia="zh-CN"/>
        </w:rPr>
      </w:pPr>
      <w:r>
        <w:rPr>
          <w:rFonts w:hint="eastAsia" w:ascii="宋体" w:hAnsi="宋体" w:eastAsia="方正仿宋_GBK" w:cs="宋体"/>
          <w:b w:val="0"/>
          <w:sz w:val="32"/>
          <w:szCs w:val="32"/>
        </w:rPr>
        <w:t>云南省交通运输厅</w:t>
      </w:r>
      <w:r>
        <w:rPr>
          <w:rFonts w:hint="eastAsia" w:ascii="宋体" w:hAnsi="宋体" w:eastAsia="方正仿宋_GBK" w:cs="宋体"/>
          <w:b w:val="0"/>
          <w:sz w:val="32"/>
          <w:szCs w:val="32"/>
          <w:lang w:val="en-US" w:eastAsia="zh-CN"/>
        </w:rPr>
        <w:t xml:space="preserve">        </w:t>
      </w:r>
    </w:p>
    <w:p w14:paraId="4BD0A6A2">
      <w:pPr>
        <w:keepLines w:val="0"/>
        <w:pageBreakBefore w:val="0"/>
        <w:widowControl/>
        <w:kinsoku/>
        <w:wordWrap w:val="0"/>
        <w:overflowPunct/>
        <w:topLinePunct w:val="0"/>
        <w:autoSpaceDE/>
        <w:autoSpaceDN/>
        <w:bidi w:val="0"/>
        <w:adjustRightInd/>
        <w:snapToGrid/>
        <w:spacing w:before="0" w:after="0" w:line="580" w:lineRule="exact"/>
        <w:ind w:firstLine="640" w:firstLineChars="200"/>
        <w:jc w:val="right"/>
        <w:textAlignment w:val="auto"/>
        <w:rPr>
          <w:rFonts w:hint="default" w:ascii="宋体" w:hAnsi="宋体" w:eastAsia="方正仿宋_GBK" w:cs="宋体"/>
          <w:b w:val="0"/>
          <w:sz w:val="32"/>
          <w:szCs w:val="32"/>
          <w:lang w:val="en-US" w:eastAsia="zh-CN"/>
        </w:rPr>
      </w:pPr>
      <w:r>
        <w:rPr>
          <w:rFonts w:hint="eastAsia" w:ascii="宋体" w:hAnsi="宋体" w:eastAsia="方正仿宋_GBK" w:cs="宋体"/>
          <w:b w:val="0"/>
          <w:sz w:val="32"/>
          <w:szCs w:val="32"/>
        </w:rPr>
        <w:t>2026年</w:t>
      </w:r>
      <w:r>
        <w:rPr>
          <w:rFonts w:hint="eastAsia" w:ascii="宋体" w:hAnsi="宋体" w:eastAsia="方正仿宋_GBK" w:cs="宋体"/>
          <w:b w:val="0"/>
          <w:sz w:val="32"/>
          <w:szCs w:val="32"/>
          <w:lang w:val="en-US" w:eastAsia="zh-CN"/>
        </w:rPr>
        <w:t>11</w:t>
      </w:r>
      <w:r>
        <w:rPr>
          <w:rFonts w:hint="eastAsia" w:ascii="宋体" w:hAnsi="宋体" w:eastAsia="方正仿宋_GBK" w:cs="宋体"/>
          <w:b w:val="0"/>
          <w:sz w:val="32"/>
          <w:szCs w:val="32"/>
        </w:rPr>
        <w:t>月</w:t>
      </w:r>
      <w:r>
        <w:rPr>
          <w:rFonts w:hint="eastAsia" w:ascii="宋体" w:hAnsi="宋体" w:eastAsia="方正仿宋_GBK" w:cs="宋体"/>
          <w:b w:val="0"/>
          <w:sz w:val="32"/>
          <w:szCs w:val="32"/>
          <w:lang w:val="en-US" w:eastAsia="zh-CN"/>
        </w:rPr>
        <w:t>2</w:t>
      </w:r>
      <w:r>
        <w:rPr>
          <w:rFonts w:hint="eastAsia" w:ascii="宋体" w:hAnsi="宋体" w:eastAsia="方正仿宋_GBK" w:cs="宋体"/>
          <w:b w:val="0"/>
          <w:sz w:val="32"/>
          <w:szCs w:val="32"/>
        </w:rPr>
        <w:t>日</w:t>
      </w:r>
      <w:r>
        <w:rPr>
          <w:rFonts w:hint="eastAsia" w:ascii="宋体" w:hAnsi="宋体" w:eastAsia="方正仿宋_GBK" w:cs="宋体"/>
          <w:b w:val="0"/>
          <w:sz w:val="32"/>
          <w:szCs w:val="32"/>
          <w:lang w:val="en-US" w:eastAsia="zh-CN"/>
        </w:rPr>
        <w:t xml:space="preserve">        </w:t>
      </w:r>
    </w:p>
    <w:sectPr>
      <w:footerReference r:id="rId5" w:type="default"/>
      <w:pgSz w:w="11906" w:h="16838"/>
      <w:pgMar w:top="2098" w:right="1474" w:bottom="1984" w:left="1587" w:header="850" w:footer="85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_GBK">
    <w:panose1 w:val="03000509000000000000"/>
    <w:charset w:val="86"/>
    <w:family w:val="auto"/>
    <w:pitch w:val="default"/>
    <w:sig w:usb0="00000001" w:usb1="080E0000" w:usb2="00000000" w:usb3="00000000" w:csb0="00040000" w:csb1="00000000"/>
    <w:embedRegular r:id="rId1" w:fontKey="{A65D2E67-C380-4C63-9912-3CA7CF85CE37}"/>
  </w:font>
  <w:font w:name="方正黑体_GBK">
    <w:panose1 w:val="03000509000000000000"/>
    <w:charset w:val="86"/>
    <w:family w:val="auto"/>
    <w:pitch w:val="default"/>
    <w:sig w:usb0="00000001" w:usb1="080E0000" w:usb2="00000000" w:usb3="00000000" w:csb0="00040000" w:csb1="00000000"/>
    <w:embedRegular r:id="rId2" w:fontKey="{C74A7A99-F1CB-490A-9785-2F6E76B15BDA}"/>
  </w:font>
  <w:font w:name="方正仿宋_GBK">
    <w:panose1 w:val="03000509000000000000"/>
    <w:charset w:val="86"/>
    <w:family w:val="auto"/>
    <w:pitch w:val="default"/>
    <w:sig w:usb0="00000001" w:usb1="080E0000" w:usb2="00000000" w:usb3="00000000" w:csb0="00040000" w:csb1="00000000"/>
    <w:embedRegular r:id="rId3" w:fontKey="{08896BD1-D68B-4A48-9A81-6B2B17D68E58}"/>
  </w:font>
  <w:font w:name="ＭＳ 明朝">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 w:name="方正楷体_GBK">
    <w:panose1 w:val="03000509000000000000"/>
    <w:charset w:val="86"/>
    <w:family w:val="auto"/>
    <w:pitch w:val="default"/>
    <w:sig w:usb0="00000001" w:usb1="080E0000" w:usb2="00000000" w:usb3="00000000" w:csb0="00040000" w:csb1="00000000"/>
    <w:embedRegular r:id="rId4" w:fontKey="{A7D53563-2051-42C2-B210-6C1EA676C79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8F070">
    <w:pPr>
      <w:pStyle w:val="24"/>
      <w:spacing w:line="560" w:lineRule="exact"/>
      <w:jc w:val="center"/>
    </w:pPr>
    <w:r>
      <w:rPr>
        <w:rFonts w:ascii="宋体" w:hAnsi="宋体" w:eastAsia="宋体"/>
        <w:b w:val="0"/>
        <w:sz w:val="28"/>
      </w:rPr>
      <w:t xml:space="preserve">— </w:t>
    </w:r>
    <w:r>
      <w:rPr>
        <w:rFonts w:ascii="宋体" w:hAnsi="宋体" w:eastAsia="宋体"/>
        <w:b w:val="0"/>
        <w:sz w:val="28"/>
      </w:rPr>
      <w:fldChar w:fldCharType="begin"/>
    </w:r>
    <w:r>
      <w:rPr>
        <w:rFonts w:ascii="宋体" w:hAnsi="宋体" w:eastAsia="宋体"/>
        <w:b w:val="0"/>
        <w:sz w:val="28"/>
      </w:rPr>
      <w:instrText xml:space="preserve"> PAGE </w:instrText>
    </w:r>
    <w:r>
      <w:rPr>
        <w:rFonts w:ascii="宋体" w:hAnsi="宋体" w:eastAsia="宋体"/>
        <w:b w:val="0"/>
        <w:sz w:val="28"/>
      </w:rPr>
      <w:fldChar w:fldCharType="end"/>
    </w:r>
    <w:r>
      <w:rPr>
        <w:rFonts w:ascii="宋体" w:hAnsi="宋体" w:eastAsia="宋体"/>
        <w:b w:val="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DEF4C8A"/>
    <w:rsid w:val="459C0CF6"/>
    <w:rsid w:val="4FF12FC1"/>
    <w:rsid w:val="52344B41"/>
    <w:rsid w:val="62170D32"/>
    <w:rsid w:val="646870C7"/>
    <w:rsid w:val="68D360BC"/>
    <w:rsid w:val="6C0E79A8"/>
    <w:rsid w:val="6E851D18"/>
    <w:rsid w:val="75A218A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1140</Words>
  <Characters>1180</Characters>
  <Lines>0</Lines>
  <Paragraphs>0</Paragraphs>
  <TotalTime>27</TotalTime>
  <ScaleCrop>false</ScaleCrop>
  <LinksUpToDate>false</LinksUpToDate>
  <CharactersWithSpaces>1197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融么么</cp:lastModifiedBy>
  <dcterms:modified xsi:type="dcterms:W3CDTF">2026-11-02T10:03:48Z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eyJoZGlkIjoiZGUyZTNhM2JlZDUxZWVjYWUzYzZmZmUxMjkyNDI1NjciLCJ1c2VySWQiOiIxMzg5NTU5MzgxIn0=</vt:lpwstr>
  </property>
  <property fmtid="{D5CDD505-2E9C-101B-9397-08002B2CF9AE}" pid="3" name="KSOProductBuildVer">
    <vt:lpwstr>2052-12.1.0.29158</vt:lpwstr>
  </property>
  <property fmtid="{D5CDD505-2E9C-101B-9397-08002B2CF9AE}" pid="4" name="ICV">
    <vt:lpwstr>BF3EF7C245B1453499C6A0BB841B9B4A_12</vt:lpwstr>
  </property>
</Properties>
</file>